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53A" w:rsidRDefault="00335AAD">
      <w:pPr>
        <w:ind w:left="-1170"/>
        <w:jc w:val="center"/>
      </w:pPr>
      <w:bookmarkStart w:id="0" w:name="_GoBack"/>
      <w:bookmarkEnd w:id="0"/>
      <w:r>
        <w:rPr>
          <w:b/>
        </w:rPr>
        <w:t xml:space="preserve">              Ansonia Public Schools</w:t>
      </w:r>
    </w:p>
    <w:p w:rsidR="0011153A" w:rsidRDefault="00335AAD">
      <w:pPr>
        <w:jc w:val="center"/>
      </w:pPr>
      <w:r>
        <w:rPr>
          <w:b/>
        </w:rPr>
        <w:t>Dyslexia Worksheet for Identification</w:t>
      </w:r>
    </w:p>
    <w:p w:rsidR="0011153A" w:rsidRDefault="00335AAD">
      <w:pPr>
        <w:jc w:val="center"/>
      </w:pPr>
      <w:r>
        <w:rPr>
          <w:b/>
        </w:rPr>
        <w:t>(To be completed at Referral or Plan Re-evaluation PPT)</w:t>
      </w:r>
    </w:p>
    <w:p w:rsidR="0011153A" w:rsidRDefault="0011153A">
      <w:pPr>
        <w:jc w:val="center"/>
      </w:pPr>
    </w:p>
    <w:p w:rsidR="0011153A" w:rsidRDefault="00335AAD">
      <w:r>
        <w:t>To be completed by the team at the PPT prior to recommending assessments for Learning Disability/Dyslexia.</w:t>
      </w:r>
    </w:p>
    <w:p w:rsidR="0011153A" w:rsidRDefault="00335AAD">
      <w:r>
        <w:t>Student Name: ____________________________</w:t>
      </w:r>
      <w:r>
        <w:tab/>
        <w:t>PPT Date: ___________________</w:t>
      </w:r>
    </w:p>
    <w:p w:rsidR="0011153A" w:rsidRDefault="00335AAD">
      <w:r>
        <w:t>Date student entered Ansonia Public Schools: ______________________</w:t>
      </w:r>
    </w:p>
    <w:p w:rsidR="0011153A" w:rsidRDefault="00335AAD">
      <w:r>
        <w:t>Cumulative days absent for 2 full school years in addition to current school year: __________</w:t>
      </w:r>
      <w:r>
        <w:tab/>
      </w:r>
    </w:p>
    <w:p w:rsidR="0011153A" w:rsidRDefault="00335AAD">
      <w:r>
        <w:t>Cumulative days tard</w:t>
      </w:r>
      <w:r>
        <w:t>y for 2 full school years in addition to current school year: ___________</w:t>
      </w:r>
    </w:p>
    <w:p w:rsidR="0011153A" w:rsidRDefault="0011153A"/>
    <w:p w:rsidR="0011153A" w:rsidRDefault="00335AAD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Review the characteristics below at the referral PPT when a Learning Disability/Dyslexia is suspected by school staff and/or parent.</w:t>
      </w:r>
    </w:p>
    <w:p w:rsidR="0011153A" w:rsidRDefault="00335AAD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Check “Yes” if the characteristic is an area of </w:t>
      </w:r>
      <w:r>
        <w:rPr>
          <w:sz w:val="20"/>
          <w:szCs w:val="20"/>
        </w:rPr>
        <w:t>concern.</w:t>
      </w:r>
    </w:p>
    <w:p w:rsidR="0011153A" w:rsidRDefault="00335AAD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Check “No” if the characteristic is not an area of concern.</w:t>
      </w:r>
    </w:p>
    <w:p w:rsidR="0011153A" w:rsidRDefault="00335AAD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Include any relevant comments or data to support the concern in the appropriate section.</w:t>
      </w:r>
    </w:p>
    <w:p w:rsidR="0011153A" w:rsidRDefault="00335AAD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If the team determines that the concern warrants further assessments, continue to review the attac</w:t>
      </w:r>
      <w:r>
        <w:rPr>
          <w:sz w:val="20"/>
          <w:szCs w:val="20"/>
        </w:rPr>
        <w:t>hed assessment matrix to this document for team recommendations.</w:t>
      </w:r>
    </w:p>
    <w:tbl>
      <w:tblPr>
        <w:tblStyle w:val="a"/>
        <w:tblW w:w="1101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1080"/>
        <w:gridCol w:w="945"/>
        <w:gridCol w:w="4335"/>
      </w:tblGrid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Characteristics: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Comments/Data</w:t>
            </w:r>
          </w:p>
        </w:tc>
      </w:tr>
      <w:tr w:rsidR="0011153A">
        <w:trPr>
          <w:trHeight w:val="220"/>
        </w:trPr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Fails to understand that words are composed of separate sound units.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Confusion of letters with similar sounds (i.e.: f/v)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Reversals and transpositions of letters and words with similar visual appearance (i.e.: b/d, was/saw)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Does not read fluently (choppy, slow, labored)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Relies on context to recognize a word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Avoids reading aloud in front of peers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Has difficulty with vocabulary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Comprehension above decoding level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Adequate comprehension of grade level text that is read to student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pronouncing some multisyllabic words correctly (i.e.: multiplication)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Spelling the same word in different ways (i.e.: </w:t>
            </w:r>
            <w:proofErr w:type="spellStart"/>
            <w:r>
              <w:rPr>
                <w:sz w:val="20"/>
                <w:szCs w:val="20"/>
              </w:rPr>
              <w:t>wuns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wunce</w:t>
            </w:r>
            <w:proofErr w:type="spellEnd"/>
            <w:r>
              <w:rPr>
                <w:sz w:val="20"/>
                <w:szCs w:val="20"/>
              </w:rPr>
              <w:t>, for once)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Writing may be disorganized and confusing to the reader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Has adequate ability to express self orally but </w:t>
            </w:r>
            <w:r>
              <w:rPr>
                <w:sz w:val="20"/>
                <w:szCs w:val="20"/>
              </w:rPr>
              <w:lastRenderedPageBreak/>
              <w:t xml:space="preserve">written composition </w:t>
            </w:r>
            <w:r>
              <w:rPr>
                <w:i/>
                <w:sz w:val="20"/>
                <w:szCs w:val="20"/>
              </w:rPr>
              <w:t>content</w:t>
            </w:r>
            <w:r>
              <w:rPr>
                <w:sz w:val="20"/>
                <w:szCs w:val="20"/>
              </w:rPr>
              <w:t xml:space="preserve"> appears to be below his/her potential.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>Do</w:t>
            </w:r>
            <w:r>
              <w:rPr>
                <w:sz w:val="20"/>
                <w:szCs w:val="20"/>
              </w:rPr>
              <w:t>es not recognize a word just read when presented on the next page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with memory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with math calculation skills; recall of facts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with word problems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with learning words that rhyme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Difficulty with near or far point copying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SRBI Data Review:</w:t>
            </w:r>
          </w:p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Reading, Math, Writing Worksheets complete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Spelling, Writing, Math work sample attached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</w:tr>
      <w:tr w:rsidR="0011153A"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Classroom Assessments reviewed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11153A">
            <w:pPr>
              <w:widowControl w:val="0"/>
              <w:spacing w:line="240" w:lineRule="auto"/>
            </w:pP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3A" w:rsidRDefault="00335AAD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DIBELS:</w:t>
            </w:r>
          </w:p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TRC/</w:t>
            </w:r>
            <w:proofErr w:type="spellStart"/>
            <w:r>
              <w:rPr>
                <w:b/>
                <w:sz w:val="20"/>
                <w:szCs w:val="20"/>
              </w:rPr>
              <w:t>mCLASS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11153A" w:rsidRDefault="00335AAD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Fountas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Pinnell</w:t>
            </w:r>
            <w:proofErr w:type="spellEnd"/>
            <w:r>
              <w:rPr>
                <w:sz w:val="20"/>
                <w:szCs w:val="20"/>
              </w:rPr>
              <w:t xml:space="preserve"> Level:</w:t>
            </w:r>
          </w:p>
          <w:p w:rsidR="0011153A" w:rsidRDefault="00335AA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Scholastic:</w:t>
            </w:r>
          </w:p>
          <w:p w:rsidR="0011153A" w:rsidRDefault="0011153A">
            <w:pPr>
              <w:widowControl w:val="0"/>
              <w:spacing w:line="240" w:lineRule="auto"/>
            </w:pPr>
          </w:p>
        </w:tc>
      </w:tr>
    </w:tbl>
    <w:p w:rsidR="0011153A" w:rsidRDefault="0011153A"/>
    <w:p w:rsidR="0011153A" w:rsidRDefault="00335AAD">
      <w:pPr>
        <w:numPr>
          <w:ilvl w:val="0"/>
          <w:numId w:val="1"/>
        </w:numPr>
        <w:ind w:hanging="360"/>
        <w:contextualSpacing/>
      </w:pPr>
      <w:r>
        <w:t>The PPT has determined that further assessments are warranted based on the number of concerns checked above, review of SRBI data, and review of reports from members of the PPT:</w:t>
      </w:r>
      <w:r>
        <w:tab/>
      </w:r>
      <w:r>
        <w:tab/>
        <w:t>_____</w:t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t>______</w:t>
      </w:r>
      <w:r>
        <w:rPr>
          <w:b/>
        </w:rPr>
        <w:t>NO</w:t>
      </w:r>
    </w:p>
    <w:p w:rsidR="0011153A" w:rsidRDefault="00335AAD">
      <w:pPr>
        <w:numPr>
          <w:ilvl w:val="0"/>
          <w:numId w:val="1"/>
        </w:numPr>
        <w:ind w:hanging="360"/>
        <w:contextualSpacing/>
      </w:pPr>
      <w:r>
        <w:t xml:space="preserve">If YES is selected, review the assessments on the attached </w:t>
      </w:r>
      <w:r>
        <w:t>matrix and complete the Notice and Consent to Conduct an Initial Evaluation (ED625 October 2014) or the Notice and Consent to Conduct a Reevaluation (ED627 October 2014).</w:t>
      </w:r>
    </w:p>
    <w:p w:rsidR="0011153A" w:rsidRDefault="00335AAD">
      <w:pPr>
        <w:numPr>
          <w:ilvl w:val="0"/>
          <w:numId w:val="1"/>
        </w:numPr>
        <w:ind w:hanging="360"/>
        <w:contextualSpacing/>
      </w:pPr>
      <w:r>
        <w:t>The Notice and Consent to Conduct an Initial Evaluation (ED625 October 2014) or the N</w:t>
      </w:r>
      <w:r>
        <w:t>otice and Consent to Conduct a Reevaluation (ED627 October 2014) has been completed and signed by the parent/guardian.   ______</w:t>
      </w:r>
      <w:r>
        <w:rPr>
          <w:b/>
        </w:rPr>
        <w:t>YES</w:t>
      </w:r>
      <w:r>
        <w:tab/>
        <w:t>______</w:t>
      </w:r>
      <w:r>
        <w:rPr>
          <w:b/>
        </w:rPr>
        <w:t>NO</w:t>
      </w:r>
    </w:p>
    <w:p w:rsidR="0011153A" w:rsidRDefault="00335AAD">
      <w:pPr>
        <w:numPr>
          <w:ilvl w:val="0"/>
          <w:numId w:val="1"/>
        </w:numPr>
        <w:ind w:hanging="360"/>
        <w:contextualSpacing/>
      </w:pPr>
      <w:r>
        <w:t>The results of the assessments will be reviewed at the Eligibility PPT on next Annual Review PPT scheduled for: ____</w:t>
      </w:r>
      <w:r>
        <w:t>_____________</w:t>
      </w:r>
    </w:p>
    <w:p w:rsidR="0011153A" w:rsidRDefault="0011153A"/>
    <w:p w:rsidR="0011153A" w:rsidRDefault="0011153A"/>
    <w:p w:rsidR="0011153A" w:rsidRDefault="0011153A"/>
    <w:p w:rsidR="0011153A" w:rsidRDefault="0011153A"/>
    <w:p w:rsidR="0011153A" w:rsidRDefault="0011153A"/>
    <w:p w:rsidR="0011153A" w:rsidRDefault="00335AAD">
      <w:r>
        <w:t>APS100/May 2016</w:t>
      </w:r>
    </w:p>
    <w:sectPr w:rsidR="001115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69C"/>
    <w:multiLevelType w:val="multilevel"/>
    <w:tmpl w:val="F6E2E2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F0709AA"/>
    <w:multiLevelType w:val="multilevel"/>
    <w:tmpl w:val="B9A43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153A"/>
    <w:rsid w:val="0011153A"/>
    <w:rsid w:val="003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Gabrielson</dc:creator>
  <cp:lastModifiedBy>Kathie Gabrielson</cp:lastModifiedBy>
  <cp:revision>2</cp:revision>
  <dcterms:created xsi:type="dcterms:W3CDTF">2016-09-28T12:24:00Z</dcterms:created>
  <dcterms:modified xsi:type="dcterms:W3CDTF">2016-09-28T12:24:00Z</dcterms:modified>
</cp:coreProperties>
</file>